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A2CC4" w14:textId="01DE688D" w:rsidR="005370F8" w:rsidRDefault="005370F8" w:rsidP="005370F8">
      <w:pPr>
        <w:jc w:val="center"/>
      </w:pPr>
      <w:r>
        <w:rPr>
          <w:noProof/>
        </w:rPr>
        <w:drawing>
          <wp:inline distT="0" distB="0" distL="0" distR="0" wp14:anchorId="70505A58" wp14:editId="1465E592">
            <wp:extent cx="1092335" cy="490505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61" cy="49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C3796">
        <w:rPr>
          <w:noProof/>
        </w:rPr>
        <w:drawing>
          <wp:inline distT="0" distB="0" distL="0" distR="0" wp14:anchorId="1EABB8C7" wp14:editId="3CDC73B9">
            <wp:extent cx="911225" cy="537845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D2E20" wp14:editId="77567DA9">
            <wp:extent cx="652462" cy="807422"/>
            <wp:effectExtent l="0" t="0" r="0" b="0"/>
            <wp:docPr id="3" name="Immagine 3" descr="C:\Users\fabrizio\Documents\corso di perfezionamento scrittura diritto\frul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rizio\Documents\corso di perfezionamento scrittura diritto\frull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3" cy="8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101F4F2" wp14:editId="054C2E75">
            <wp:extent cx="642938" cy="645360"/>
            <wp:effectExtent l="0" t="0" r="5080" b="2540"/>
            <wp:docPr id="4" name="Immagine 4" descr="C:\Users\fabrizio\Documents\corso di perfezionamento scrittura diritto\ITTI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rizio\Documents\corso di perfezionamento scrittura diritto\ITTIG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5" cy="6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53DFE" w:rsidRPr="00153DFE">
        <w:rPr>
          <w:noProof/>
        </w:rPr>
        <w:drawing>
          <wp:inline distT="0" distB="0" distL="0" distR="0" wp14:anchorId="4C5D8758" wp14:editId="1CCB5EBD">
            <wp:extent cx="1156335" cy="441397"/>
            <wp:effectExtent l="0" t="0" r="1206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4223" cy="45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7BE4121F" w14:textId="39101F1F" w:rsidR="005370F8" w:rsidRPr="005370F8" w:rsidRDefault="005370F8" w:rsidP="005370F8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</w:t>
      </w:r>
      <w:r w:rsidR="001531EB">
        <w:rPr>
          <w:sz w:val="10"/>
          <w:szCs w:val="10"/>
        </w:rPr>
        <w:tab/>
      </w:r>
      <w:r w:rsidR="001531EB">
        <w:rPr>
          <w:sz w:val="10"/>
          <w:szCs w:val="10"/>
        </w:rPr>
        <w:tab/>
      </w:r>
      <w:r w:rsidR="001531EB">
        <w:rPr>
          <w:sz w:val="10"/>
          <w:szCs w:val="10"/>
        </w:rPr>
        <w:tab/>
        <w:t xml:space="preserve">                     </w:t>
      </w:r>
      <w:r w:rsidR="00351F9E">
        <w:rPr>
          <w:sz w:val="10"/>
          <w:szCs w:val="10"/>
        </w:rPr>
        <w:t xml:space="preserve">                                            </w:t>
      </w:r>
      <w:r w:rsidR="001531EB">
        <w:rPr>
          <w:sz w:val="10"/>
          <w:szCs w:val="10"/>
        </w:rPr>
        <w:t>Accademia della Crusca</w:t>
      </w:r>
    </w:p>
    <w:p w14:paraId="098CF1C7" w14:textId="77777777" w:rsidR="005370F8" w:rsidRDefault="005370F8" w:rsidP="00BF2280"/>
    <w:p w14:paraId="10DC173A" w14:textId="77777777" w:rsidR="00BA01B0" w:rsidRDefault="00BA01B0" w:rsidP="00BA01B0">
      <w:pPr>
        <w:jc w:val="center"/>
        <w:rPr>
          <w:i/>
          <w:sz w:val="28"/>
          <w:szCs w:val="28"/>
        </w:rPr>
      </w:pPr>
      <w:r w:rsidRPr="00E64445">
        <w:rPr>
          <w:sz w:val="28"/>
          <w:szCs w:val="28"/>
        </w:rPr>
        <w:t xml:space="preserve">Corso di perfezionamento </w:t>
      </w:r>
      <w:r w:rsidRPr="00E64445">
        <w:rPr>
          <w:i/>
          <w:sz w:val="28"/>
          <w:szCs w:val="28"/>
        </w:rPr>
        <w:t xml:space="preserve">post </w:t>
      </w:r>
      <w:proofErr w:type="spellStart"/>
      <w:r w:rsidRPr="00E64445">
        <w:rPr>
          <w:i/>
          <w:sz w:val="28"/>
          <w:szCs w:val="28"/>
        </w:rPr>
        <w:t>laurea</w:t>
      </w:r>
      <w:r>
        <w:rPr>
          <w:i/>
          <w:sz w:val="28"/>
          <w:szCs w:val="28"/>
        </w:rPr>
        <w:t>m</w:t>
      </w:r>
      <w:proofErr w:type="spellEnd"/>
    </w:p>
    <w:p w14:paraId="6673B641" w14:textId="77777777" w:rsidR="00BA01B0" w:rsidRPr="00E64445" w:rsidRDefault="00BA01B0" w:rsidP="00BA01B0">
      <w:pPr>
        <w:jc w:val="center"/>
        <w:rPr>
          <w:sz w:val="16"/>
          <w:szCs w:val="16"/>
        </w:rPr>
      </w:pPr>
    </w:p>
    <w:p w14:paraId="0023BF92" w14:textId="77777777" w:rsidR="00BA01B0" w:rsidRDefault="00BA01B0" w:rsidP="00BA01B0">
      <w:pPr>
        <w:jc w:val="center"/>
        <w:rPr>
          <w:b/>
          <w:sz w:val="28"/>
          <w:szCs w:val="28"/>
        </w:rPr>
      </w:pPr>
      <w:r w:rsidRPr="00E64445">
        <w:rPr>
          <w:b/>
          <w:sz w:val="28"/>
          <w:szCs w:val="28"/>
        </w:rPr>
        <w:t xml:space="preserve">Professioni </w:t>
      </w:r>
      <w:r>
        <w:rPr>
          <w:b/>
          <w:sz w:val="28"/>
          <w:szCs w:val="28"/>
        </w:rPr>
        <w:t>legali e scrittura del diritto</w:t>
      </w:r>
    </w:p>
    <w:p w14:paraId="7679035A" w14:textId="77777777" w:rsidR="00BA01B0" w:rsidRDefault="00BA01B0" w:rsidP="00BA01B0">
      <w:pPr>
        <w:jc w:val="center"/>
        <w:rPr>
          <w:b/>
          <w:sz w:val="28"/>
          <w:szCs w:val="28"/>
        </w:rPr>
      </w:pPr>
      <w:r w:rsidRPr="00E64445">
        <w:rPr>
          <w:b/>
          <w:sz w:val="28"/>
          <w:szCs w:val="28"/>
        </w:rPr>
        <w:t>La lingua giuridic</w:t>
      </w:r>
      <w:r>
        <w:rPr>
          <w:b/>
          <w:sz w:val="28"/>
          <w:szCs w:val="28"/>
        </w:rPr>
        <w:t>a com’è, e come dovrebbe essere</w:t>
      </w:r>
    </w:p>
    <w:p w14:paraId="585A4E91" w14:textId="5C86CB80" w:rsidR="00116C3D" w:rsidRPr="00E64445" w:rsidRDefault="00351F9E" w:rsidP="00BA0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Terza</w:t>
      </w:r>
      <w:r w:rsidR="00116C3D">
        <w:rPr>
          <w:b/>
          <w:sz w:val="28"/>
          <w:szCs w:val="28"/>
        </w:rPr>
        <w:t xml:space="preserve"> edizione</w:t>
      </w:r>
    </w:p>
    <w:p w14:paraId="1B828032" w14:textId="77777777" w:rsidR="00BA01B0" w:rsidRDefault="00BA01B0" w:rsidP="00BA01B0">
      <w:pPr>
        <w:rPr>
          <w:b/>
        </w:rPr>
      </w:pPr>
    </w:p>
    <w:p w14:paraId="787CC09F" w14:textId="77777777" w:rsidR="00BA01B0" w:rsidRPr="0081450A" w:rsidRDefault="00BA01B0" w:rsidP="00BA01B0">
      <w:pPr>
        <w:rPr>
          <w:b/>
        </w:rPr>
      </w:pPr>
    </w:p>
    <w:p w14:paraId="3477DC03" w14:textId="56AE255E" w:rsidR="009411DA" w:rsidRDefault="009411DA" w:rsidP="009411DA">
      <w:pPr>
        <w:rPr>
          <w:b/>
        </w:rPr>
      </w:pPr>
      <w:r>
        <w:rPr>
          <w:rFonts w:eastAsia="Times New Roman" w:cs="Times New Roman"/>
        </w:rPr>
        <w:t>Il corso, aperto ai laureati in discipline giuridiche, economiche, sociali e letterarie, è pensato in modo particolare p</w:t>
      </w:r>
      <w:r w:rsidR="000B4A88">
        <w:rPr>
          <w:rFonts w:eastAsia="Times New Roman" w:cs="Times New Roman"/>
        </w:rPr>
        <w:t>er i professionisti del diritto.</w:t>
      </w:r>
      <w:r>
        <w:rPr>
          <w:rFonts w:eastAsia="Times New Roman" w:cs="Times New Roman"/>
        </w:rPr>
        <w:t xml:space="preserve"> </w:t>
      </w:r>
      <w:r w:rsidR="000B4A88">
        <w:rPr>
          <w:rFonts w:eastAsia="Times New Roman" w:cs="Times New Roman"/>
        </w:rPr>
        <w:t>S</w:t>
      </w:r>
      <w:r>
        <w:rPr>
          <w:rFonts w:eastAsia="Times New Roman" w:cs="Times New Roman"/>
        </w:rPr>
        <w:t>i articol</w:t>
      </w:r>
      <w:r w:rsidR="000D1C4B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in </w:t>
      </w:r>
      <w:r w:rsidR="000B4A88">
        <w:rPr>
          <w:rFonts w:eastAsia="Times New Roman" w:cs="Times New Roman"/>
        </w:rPr>
        <w:t xml:space="preserve">dieci </w:t>
      </w:r>
      <w:r>
        <w:rPr>
          <w:rFonts w:eastAsia="Times New Roman" w:cs="Times New Roman"/>
        </w:rPr>
        <w:t>lezioni che si svolgeranno il venerdì pomeriggio</w:t>
      </w:r>
      <w:r w:rsidR="004522F1">
        <w:rPr>
          <w:rFonts w:eastAsia="Times New Roman" w:cs="Times New Roman"/>
        </w:rPr>
        <w:t xml:space="preserve"> dalle 15,00 alle 19,00</w:t>
      </w:r>
      <w:r w:rsidR="003E550A">
        <w:rPr>
          <w:rFonts w:eastAsia="Times New Roman" w:cs="Times New Roman"/>
        </w:rPr>
        <w:t xml:space="preserve">, a partire dal </w:t>
      </w:r>
      <w:r w:rsidR="008558D6">
        <w:rPr>
          <w:rFonts w:eastAsia="Times New Roman" w:cs="Times New Roman"/>
        </w:rPr>
        <w:t>1°</w:t>
      </w:r>
      <w:r w:rsidR="003E550A">
        <w:rPr>
          <w:rFonts w:eastAsia="Times New Roman" w:cs="Times New Roman"/>
        </w:rPr>
        <w:t xml:space="preserve"> </w:t>
      </w:r>
      <w:r w:rsidR="008558D6">
        <w:rPr>
          <w:rFonts w:eastAsia="Times New Roman" w:cs="Times New Roman"/>
        </w:rPr>
        <w:t>aprile</w:t>
      </w:r>
      <w:r>
        <w:rPr>
          <w:rFonts w:eastAsia="Times New Roman" w:cs="Times New Roman"/>
        </w:rPr>
        <w:t xml:space="preserve"> e </w:t>
      </w:r>
      <w:r w:rsidR="003E550A">
        <w:rPr>
          <w:rFonts w:eastAsia="Times New Roman" w:cs="Times New Roman"/>
        </w:rPr>
        <w:t>fino a</w:t>
      </w:r>
      <w:r>
        <w:rPr>
          <w:rFonts w:eastAsia="Times New Roman" w:cs="Times New Roman"/>
        </w:rPr>
        <w:t xml:space="preserve">l </w:t>
      </w:r>
      <w:r w:rsidR="008558D6">
        <w:rPr>
          <w:rFonts w:eastAsia="Times New Roman" w:cs="Times New Roman"/>
        </w:rPr>
        <w:t>10</w:t>
      </w:r>
      <w:r w:rsidR="003E550A">
        <w:rPr>
          <w:rFonts w:eastAsia="Times New Roman" w:cs="Times New Roman"/>
        </w:rPr>
        <w:t xml:space="preserve"> </w:t>
      </w:r>
      <w:r w:rsidR="008558D6">
        <w:rPr>
          <w:rFonts w:eastAsia="Times New Roman" w:cs="Times New Roman"/>
        </w:rPr>
        <w:t>giugno 2016</w:t>
      </w:r>
      <w:r>
        <w:rPr>
          <w:rFonts w:eastAsia="Times New Roman" w:cs="Times New Roman"/>
        </w:rPr>
        <w:t>, per un totale</w:t>
      </w:r>
      <w:r w:rsidR="000B4A88">
        <w:rPr>
          <w:rFonts w:eastAsia="Times New Roman" w:cs="Times New Roman"/>
        </w:rPr>
        <w:t xml:space="preserve"> di 40 ore. </w:t>
      </w:r>
      <w:r w:rsidR="00CA6551">
        <w:rPr>
          <w:rFonts w:eastAsia="Times New Roman" w:cs="Times New Roman"/>
        </w:rPr>
        <w:t>L</w:t>
      </w:r>
      <w:r w:rsidR="000B4A88">
        <w:rPr>
          <w:rFonts w:eastAsia="Times New Roman" w:cs="Times New Roman"/>
        </w:rPr>
        <w:t>a prima parte della lezione</w:t>
      </w:r>
      <w:r>
        <w:rPr>
          <w:rFonts w:eastAsia="Times New Roman" w:cs="Times New Roman"/>
        </w:rPr>
        <w:t xml:space="preserve"> sarà tenuta da </w:t>
      </w:r>
      <w:r w:rsidR="000B4A88">
        <w:rPr>
          <w:rFonts w:eastAsia="Times New Roman" w:cs="Times New Roman"/>
        </w:rPr>
        <w:t>un linguista (che abbia</w:t>
      </w:r>
      <w:r>
        <w:rPr>
          <w:rFonts w:eastAsia="Times New Roman" w:cs="Times New Roman"/>
        </w:rPr>
        <w:t xml:space="preserve"> però una particolare attenzione e preparazione sulla lingua del diritto) e sarà volta ad affrontare le tematiche relative alla costruzione del testo scritto, sempre confrontando com’è oggi la lingua giuridica, e come potrebbe o dovrebbe essere. La seconda parte vedrà invece scendere in campo i</w:t>
      </w:r>
      <w:r w:rsidR="000B4A88">
        <w:rPr>
          <w:rFonts w:eastAsia="Times New Roman" w:cs="Times New Roman"/>
        </w:rPr>
        <w:t>l giurista</w:t>
      </w:r>
      <w:r>
        <w:rPr>
          <w:rFonts w:eastAsia="Times New Roman" w:cs="Times New Roman"/>
        </w:rPr>
        <w:t xml:space="preserve"> per mettere a fuoco, dal </w:t>
      </w:r>
      <w:r w:rsidR="000B4A88">
        <w:rPr>
          <w:rFonts w:eastAsia="Times New Roman" w:cs="Times New Roman"/>
        </w:rPr>
        <w:t>suo specifico</w:t>
      </w:r>
      <w:r>
        <w:rPr>
          <w:rFonts w:eastAsia="Times New Roman" w:cs="Times New Roman"/>
        </w:rPr>
        <w:t xml:space="preserve"> punto di vista, le regole (e le difficoltà) che si devono seguire (o che si incontrano) nella redazione dei testi del diritto, a partire dalla legge e dai testi normativi in genere, per passare poi al contratto, all’atto del processo, agli </w:t>
      </w:r>
      <w:r w:rsidR="000B4A88">
        <w:rPr>
          <w:rFonts w:eastAsia="Times New Roman" w:cs="Times New Roman"/>
        </w:rPr>
        <w:t>atti del diritto amministrativo. C</w:t>
      </w:r>
      <w:r>
        <w:rPr>
          <w:rFonts w:eastAsia="Times New Roman" w:cs="Times New Roman"/>
        </w:rPr>
        <w:t xml:space="preserve">i si soffermerà anche sul sostegno che nella redazione del </w:t>
      </w:r>
      <w:r w:rsidR="000B4A88">
        <w:rPr>
          <w:rFonts w:eastAsia="Times New Roman" w:cs="Times New Roman"/>
        </w:rPr>
        <w:t>testo giuridico</w:t>
      </w:r>
      <w:r>
        <w:rPr>
          <w:rFonts w:eastAsia="Times New Roman" w:cs="Times New Roman"/>
        </w:rPr>
        <w:t xml:space="preserve"> possono fornire gli strumenti dell’informatica. Infine alcune lezioni saranno dedicate ai rapporti, sempre più stretti e frequenti, tra l’italian</w:t>
      </w:r>
      <w:r w:rsidR="000B4A88">
        <w:rPr>
          <w:rFonts w:eastAsia="Times New Roman" w:cs="Times New Roman"/>
        </w:rPr>
        <w:t>o giuridico e le altre lingue, con un occhio attento</w:t>
      </w:r>
      <w:r>
        <w:rPr>
          <w:rFonts w:eastAsia="Times New Roman" w:cs="Times New Roman"/>
        </w:rPr>
        <w:t xml:space="preserve"> in particolare alle modifiche che attraverso questi contatti avvengono nella nostra.</w:t>
      </w:r>
    </w:p>
    <w:p w14:paraId="75403B19" w14:textId="77777777" w:rsidR="009411DA" w:rsidRDefault="009411DA" w:rsidP="009411DA">
      <w:pPr>
        <w:rPr>
          <w:b/>
        </w:rPr>
      </w:pPr>
    </w:p>
    <w:p w14:paraId="3C283062" w14:textId="77777777" w:rsidR="009411DA" w:rsidRPr="007F784D" w:rsidRDefault="009411DA" w:rsidP="009411DA">
      <w:pPr>
        <w:rPr>
          <w:b/>
        </w:rPr>
      </w:pPr>
    </w:p>
    <w:p w14:paraId="6CD4F4A5" w14:textId="77777777" w:rsidR="009411DA" w:rsidRDefault="009411DA" w:rsidP="009411DA">
      <w:r w:rsidRPr="00BF2280">
        <w:rPr>
          <w:smallCaps/>
        </w:rPr>
        <w:t>Programma</w:t>
      </w:r>
    </w:p>
    <w:p w14:paraId="40BA3E00" w14:textId="77777777" w:rsidR="009411DA" w:rsidRDefault="009411DA" w:rsidP="009411DA"/>
    <w:p w14:paraId="43E95A98" w14:textId="77777777" w:rsidR="009411DA" w:rsidRDefault="009411DA" w:rsidP="009411DA">
      <w:r w:rsidRPr="00F6289B">
        <w:rPr>
          <w:b/>
        </w:rPr>
        <w:t>Lingua e diritto</w:t>
      </w:r>
      <w:r>
        <w:rPr>
          <w:b/>
        </w:rPr>
        <w:t>, qualche considerazione iniziale</w:t>
      </w:r>
      <w:r>
        <w:t xml:space="preserve"> </w:t>
      </w:r>
    </w:p>
    <w:p w14:paraId="00FA9357" w14:textId="7D53D733" w:rsidR="009411DA" w:rsidRDefault="001D4642" w:rsidP="009C541D">
      <w:r>
        <w:t>Per un rinnovamento della lingua del diritto</w:t>
      </w:r>
      <w:r w:rsidR="009C541D">
        <w:t xml:space="preserve"> (Federigo Bambi e Marco Biffi</w:t>
      </w:r>
      <w:r w:rsidR="006D0B79">
        <w:t>,</w:t>
      </w:r>
      <w:r w:rsidR="009411DA">
        <w:t xml:space="preserve"> Università di Firenze)</w:t>
      </w:r>
    </w:p>
    <w:p w14:paraId="27F3249C" w14:textId="77777777" w:rsidR="009411DA" w:rsidRDefault="009411DA" w:rsidP="009411DA"/>
    <w:p w14:paraId="35D02A66" w14:textId="77777777" w:rsidR="009411DA" w:rsidRDefault="009411DA" w:rsidP="009411DA">
      <w:r w:rsidRPr="00F6289B">
        <w:rPr>
          <w:b/>
        </w:rPr>
        <w:t>La costruzione del testo scritto</w:t>
      </w:r>
      <w:r>
        <w:t xml:space="preserve"> </w:t>
      </w:r>
    </w:p>
    <w:p w14:paraId="0DF7531A" w14:textId="77777777" w:rsidR="009411DA" w:rsidRDefault="009411DA" w:rsidP="009411DA">
      <w:r>
        <w:t>Scrivere chiaro nel quadro dell’italiano contemporaneo (Marco Biffi, Università di Firenze)</w:t>
      </w:r>
    </w:p>
    <w:p w14:paraId="643BC59D" w14:textId="77777777" w:rsidR="009411DA" w:rsidRDefault="009411DA" w:rsidP="009411DA">
      <w:r>
        <w:t>La scrittura del testo del diritto (Cecilia Robustelli, Università di Modena e Reggio Emilia)</w:t>
      </w:r>
    </w:p>
    <w:p w14:paraId="64190893" w14:textId="77777777" w:rsidR="009411DA" w:rsidRDefault="009411DA" w:rsidP="009411DA">
      <w:r>
        <w:t>Pratica giuridica e scrittura (Riccardo Gualdo, Università della Tuscia)</w:t>
      </w:r>
    </w:p>
    <w:p w14:paraId="2F6AE8DD" w14:textId="3EB22CDB" w:rsidR="009411DA" w:rsidRDefault="008F572C" w:rsidP="009411DA">
      <w:r>
        <w:t>L’italiano nella</w:t>
      </w:r>
      <w:r w:rsidR="009411DA">
        <w:t xml:space="preserve"> scrittura istituzionale (Michele </w:t>
      </w:r>
      <w:proofErr w:type="spellStart"/>
      <w:r w:rsidR="009411DA">
        <w:t>Cortelazzo</w:t>
      </w:r>
      <w:proofErr w:type="spellEnd"/>
      <w:r w:rsidR="009411DA">
        <w:t>, Università di Padova)</w:t>
      </w:r>
    </w:p>
    <w:p w14:paraId="33742A9F" w14:textId="1095A23B" w:rsidR="009411DA" w:rsidRDefault="00DE0679" w:rsidP="009411DA">
      <w:r>
        <w:t>Lingua del giudice, lingua dell’avvocato</w:t>
      </w:r>
      <w:r w:rsidR="009411DA">
        <w:t xml:space="preserve"> (</w:t>
      </w:r>
      <w:r w:rsidR="00F92CF0">
        <w:t>Jacqueline Visconti, Università di Genova</w:t>
      </w:r>
      <w:r w:rsidR="009411DA">
        <w:t>)</w:t>
      </w:r>
    </w:p>
    <w:p w14:paraId="0A93E26B" w14:textId="77777777" w:rsidR="009411DA" w:rsidRDefault="009411DA" w:rsidP="009411DA"/>
    <w:p w14:paraId="6661CF60" w14:textId="77777777" w:rsidR="009411DA" w:rsidRDefault="009411DA" w:rsidP="009411DA">
      <w:r w:rsidRPr="00F6289B">
        <w:rPr>
          <w:b/>
        </w:rPr>
        <w:t>Le regole per la costruzione del testo giuridico</w:t>
      </w:r>
    </w:p>
    <w:p w14:paraId="515D9208" w14:textId="5FFFB359" w:rsidR="009411DA" w:rsidRDefault="009411DA" w:rsidP="009411DA">
      <w:r>
        <w:t xml:space="preserve">La </w:t>
      </w:r>
      <w:r w:rsidR="00362B78">
        <w:t>scrittura delle norme</w:t>
      </w:r>
      <w:r>
        <w:t xml:space="preserve"> (</w:t>
      </w:r>
      <w:r w:rsidR="00ED7397" w:rsidRPr="00DB5522">
        <w:t>Giovanni Tarli Barbieri</w:t>
      </w:r>
      <w:r>
        <w:t>, Università di Firenze)</w:t>
      </w:r>
    </w:p>
    <w:p w14:paraId="0DB815ED" w14:textId="7D071E05" w:rsidR="009411DA" w:rsidRDefault="003713DC" w:rsidP="009411DA">
      <w:r w:rsidRPr="003713DC">
        <w:t xml:space="preserve">La scrittura del contratto tra forma linguistica e sostanza </w:t>
      </w:r>
      <w:proofErr w:type="spellStart"/>
      <w:r w:rsidRPr="003713DC">
        <w:t>regolatoria</w:t>
      </w:r>
      <w:proofErr w:type="spellEnd"/>
      <w:r w:rsidR="009411DA">
        <w:t xml:space="preserve"> (Giuseppe Conte, Università di Firenze)</w:t>
      </w:r>
    </w:p>
    <w:p w14:paraId="10B44CCF" w14:textId="61605257" w:rsidR="00947454" w:rsidRDefault="00947454" w:rsidP="009411DA">
      <w:r w:rsidRPr="00DB5522">
        <w:t xml:space="preserve">La lingua nel processo </w:t>
      </w:r>
      <w:r w:rsidR="00940758">
        <w:t xml:space="preserve">civile: il punto di vista del giurista </w:t>
      </w:r>
      <w:r w:rsidRPr="00DB5522">
        <w:t>(Ilaria Pagni, Università di Firenze)</w:t>
      </w:r>
    </w:p>
    <w:p w14:paraId="6A2DD07B" w14:textId="3D9AD340" w:rsidR="009411DA" w:rsidRDefault="00D96F73" w:rsidP="009411DA">
      <w:r>
        <w:t>Testo e a</w:t>
      </w:r>
      <w:r w:rsidR="00947454" w:rsidRPr="00B0706B">
        <w:t>rgomentazione</w:t>
      </w:r>
      <w:r>
        <w:t xml:space="preserve"> nella scrittura dell’avvocato</w:t>
      </w:r>
      <w:r w:rsidR="00947454" w:rsidRPr="00B0706B">
        <w:t xml:space="preserve"> </w:t>
      </w:r>
      <w:r w:rsidR="009411DA" w:rsidRPr="00B0706B">
        <w:t>(</w:t>
      </w:r>
      <w:r w:rsidR="00D10F74">
        <w:t>Antonella Miccoli, Fondazione per la formazione forense dell’Ordine degli avvocati di Firenze</w:t>
      </w:r>
      <w:bookmarkStart w:id="0" w:name="_GoBack"/>
      <w:bookmarkEnd w:id="0"/>
      <w:r w:rsidR="009411DA" w:rsidRPr="00B0706B">
        <w:t>)</w:t>
      </w:r>
    </w:p>
    <w:p w14:paraId="7AA3DF0A" w14:textId="07097661" w:rsidR="009411DA" w:rsidRDefault="009411DA" w:rsidP="009411DA">
      <w:r>
        <w:lastRenderedPageBreak/>
        <w:t>Il provvedimento del giudice (</w:t>
      </w:r>
      <w:r w:rsidR="00947454" w:rsidRPr="00DB5522">
        <w:t xml:space="preserve">Ernesto </w:t>
      </w:r>
      <w:proofErr w:type="spellStart"/>
      <w:r w:rsidR="00947454" w:rsidRPr="00DB5522">
        <w:t>Aghina</w:t>
      </w:r>
      <w:proofErr w:type="spellEnd"/>
      <w:r w:rsidR="00947454" w:rsidRPr="00DB5522">
        <w:t xml:space="preserve">, </w:t>
      </w:r>
      <w:r w:rsidR="001A1A86">
        <w:t xml:space="preserve">presidente di sezione del Tribunale di Napoli, già componente del consiglio direttivo della </w:t>
      </w:r>
      <w:r w:rsidR="00947454" w:rsidRPr="00DB5522">
        <w:t>Scuola superiore della magistratura</w:t>
      </w:r>
      <w:r>
        <w:t>)</w:t>
      </w:r>
    </w:p>
    <w:p w14:paraId="7BB07319" w14:textId="25D37383" w:rsidR="009411DA" w:rsidRDefault="003A34FE" w:rsidP="009411DA">
      <w:r>
        <w:t>La scrittura deg</w:t>
      </w:r>
      <w:r w:rsidR="009411DA">
        <w:t>li atti del diritto amministrativo (Domenico</w:t>
      </w:r>
      <w:r w:rsidR="002653E7">
        <w:t xml:space="preserve"> </w:t>
      </w:r>
      <w:proofErr w:type="spellStart"/>
      <w:r w:rsidR="002653E7">
        <w:t>Sorace</w:t>
      </w:r>
      <w:proofErr w:type="spellEnd"/>
      <w:r w:rsidR="002653E7">
        <w:t>, Università di Firenze)</w:t>
      </w:r>
    </w:p>
    <w:p w14:paraId="3C032129" w14:textId="284C7519" w:rsidR="002653E7" w:rsidRDefault="002653E7" w:rsidP="002653E7">
      <w:r w:rsidRPr="00DB5522">
        <w:t xml:space="preserve">Laboratorio di scrittura giuridica (Angela Frati - Stefania </w:t>
      </w:r>
      <w:proofErr w:type="spellStart"/>
      <w:r w:rsidRPr="00DB5522">
        <w:t>Iannizzotto</w:t>
      </w:r>
      <w:proofErr w:type="spellEnd"/>
      <w:r w:rsidR="00714481">
        <w:t xml:space="preserve"> - Maria Cristina Torchia</w:t>
      </w:r>
      <w:r w:rsidRPr="00DB5522">
        <w:t>, Accademia della Crusca)</w:t>
      </w:r>
    </w:p>
    <w:p w14:paraId="3B3C78A6" w14:textId="77777777" w:rsidR="009411DA" w:rsidRDefault="009411DA" w:rsidP="009411DA"/>
    <w:p w14:paraId="19ED47CE" w14:textId="77777777" w:rsidR="009411DA" w:rsidRDefault="009411DA" w:rsidP="009411DA">
      <w:r>
        <w:rPr>
          <w:rFonts w:eastAsia="Times New Roman" w:cs="Times New Roman"/>
          <w:b/>
        </w:rPr>
        <w:t>Tecnologie dell’</w:t>
      </w:r>
      <w:r w:rsidRPr="00F6289B">
        <w:rPr>
          <w:rFonts w:eastAsia="Times New Roman" w:cs="Times New Roman"/>
          <w:b/>
        </w:rPr>
        <w:t xml:space="preserve">informazione </w:t>
      </w:r>
      <w:r>
        <w:rPr>
          <w:rFonts w:eastAsia="Times New Roman" w:cs="Times New Roman"/>
          <w:b/>
        </w:rPr>
        <w:t>per la buona scrittura dei testi giuridici</w:t>
      </w:r>
    </w:p>
    <w:p w14:paraId="77754803" w14:textId="0F40EA74" w:rsidR="009411DA" w:rsidRDefault="004E4504" w:rsidP="009411DA">
      <w:r>
        <w:rPr>
          <w:rFonts w:eastAsia="Times New Roman" w:cs="Times New Roman"/>
        </w:rPr>
        <w:t xml:space="preserve">Le competenze del regolatore nell’era digitale </w:t>
      </w:r>
      <w:r w:rsidR="009411DA" w:rsidRPr="008E4955">
        <w:t>(</w:t>
      </w:r>
      <w:r w:rsidR="009411DA">
        <w:t>Giovanni Pascuzzi, Università di Trento</w:t>
      </w:r>
      <w:r w:rsidR="009411DA" w:rsidRPr="008E4955">
        <w:t>)</w:t>
      </w:r>
    </w:p>
    <w:p w14:paraId="69588257" w14:textId="4D0CFE8A" w:rsidR="009411DA" w:rsidRPr="008E4955" w:rsidRDefault="009411DA" w:rsidP="009411DA">
      <w:r w:rsidRPr="008E4955">
        <w:t xml:space="preserve">Tecniche legislative e </w:t>
      </w:r>
      <w:r w:rsidR="00FB3A3C">
        <w:t>informatica</w:t>
      </w:r>
      <w:r w:rsidR="00F261F9">
        <w:t xml:space="preserve"> nel</w:t>
      </w:r>
      <w:r w:rsidR="00FB3A3C">
        <w:t>la costruzione dei</w:t>
      </w:r>
      <w:r w:rsidR="00F261F9">
        <w:t xml:space="preserve"> </w:t>
      </w:r>
      <w:r w:rsidR="00FB3A3C">
        <w:t>testi</w:t>
      </w:r>
      <w:r w:rsidR="00F261F9">
        <w:t xml:space="preserve"> giuridici</w:t>
      </w:r>
      <w:r w:rsidRPr="008E4955">
        <w:t xml:space="preserve"> (</w:t>
      </w:r>
      <w:r>
        <w:t>Marina Pietrangelo, ITTIG</w:t>
      </w:r>
      <w:r w:rsidRPr="008E4955">
        <w:t>)</w:t>
      </w:r>
    </w:p>
    <w:p w14:paraId="56C7888B" w14:textId="77777777" w:rsidR="009411DA" w:rsidRDefault="009411DA" w:rsidP="009411DA"/>
    <w:p w14:paraId="3FCE1E0E" w14:textId="77777777" w:rsidR="009411DA" w:rsidRDefault="009411DA" w:rsidP="009411DA">
      <w:r w:rsidRPr="00F6289B">
        <w:rPr>
          <w:b/>
        </w:rPr>
        <w:t>L’ Europa e il mondo: l’italiano e le altre lingue del diritto</w:t>
      </w:r>
    </w:p>
    <w:p w14:paraId="6163C597" w14:textId="77777777" w:rsidR="009411DA" w:rsidRDefault="009411DA" w:rsidP="009411DA">
      <w:r w:rsidRPr="0025478D">
        <w:rPr>
          <w:i/>
        </w:rPr>
        <w:t>Common Law</w:t>
      </w:r>
      <w:r>
        <w:t xml:space="preserve"> e lingua giuridica (Vittoria Barsotti, Università di Firenze)</w:t>
      </w:r>
    </w:p>
    <w:p w14:paraId="4BA02F23" w14:textId="77777777" w:rsidR="009411DA" w:rsidRDefault="009411DA" w:rsidP="009411DA">
      <w:r>
        <w:t>L’impatto del multilinguismo sugli atti comunitari (Barbara Pozzo, Università dell’</w:t>
      </w:r>
      <w:proofErr w:type="spellStart"/>
      <w:r>
        <w:t>Insubria</w:t>
      </w:r>
      <w:proofErr w:type="spellEnd"/>
      <w:r>
        <w:t>)</w:t>
      </w:r>
    </w:p>
    <w:p w14:paraId="4FF57610" w14:textId="77777777" w:rsidR="008F3E75" w:rsidRDefault="008F3E75" w:rsidP="00BF2280"/>
    <w:p w14:paraId="16BF2E97" w14:textId="77777777" w:rsidR="008F3E75" w:rsidRDefault="008F3E75" w:rsidP="00BF2280"/>
    <w:sectPr w:rsidR="008F3E75" w:rsidSect="002B69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A2"/>
    <w:rsid w:val="000B4A88"/>
    <w:rsid w:val="000D1C4B"/>
    <w:rsid w:val="000E1E6E"/>
    <w:rsid w:val="00116C3D"/>
    <w:rsid w:val="001265A2"/>
    <w:rsid w:val="001531EB"/>
    <w:rsid w:val="00153DFE"/>
    <w:rsid w:val="00154572"/>
    <w:rsid w:val="001621A7"/>
    <w:rsid w:val="001A1A86"/>
    <w:rsid w:val="001D4642"/>
    <w:rsid w:val="00212455"/>
    <w:rsid w:val="00222988"/>
    <w:rsid w:val="002653E7"/>
    <w:rsid w:val="00285DD7"/>
    <w:rsid w:val="002B69E7"/>
    <w:rsid w:val="002C3796"/>
    <w:rsid w:val="002D5446"/>
    <w:rsid w:val="00351F9E"/>
    <w:rsid w:val="00362B78"/>
    <w:rsid w:val="003713DC"/>
    <w:rsid w:val="003A189A"/>
    <w:rsid w:val="003A34FE"/>
    <w:rsid w:val="003C101C"/>
    <w:rsid w:val="003C5E8E"/>
    <w:rsid w:val="003D2298"/>
    <w:rsid w:val="003E550A"/>
    <w:rsid w:val="003F496C"/>
    <w:rsid w:val="00423E1E"/>
    <w:rsid w:val="0044552E"/>
    <w:rsid w:val="004522F1"/>
    <w:rsid w:val="00471E00"/>
    <w:rsid w:val="004C1DF6"/>
    <w:rsid w:val="004E4504"/>
    <w:rsid w:val="004F010A"/>
    <w:rsid w:val="005370F8"/>
    <w:rsid w:val="00545FBB"/>
    <w:rsid w:val="005660B2"/>
    <w:rsid w:val="005B4F97"/>
    <w:rsid w:val="005B5591"/>
    <w:rsid w:val="00611778"/>
    <w:rsid w:val="00614F03"/>
    <w:rsid w:val="006B6A9B"/>
    <w:rsid w:val="006D0B79"/>
    <w:rsid w:val="00714481"/>
    <w:rsid w:val="00722A6B"/>
    <w:rsid w:val="007342E1"/>
    <w:rsid w:val="00846115"/>
    <w:rsid w:val="00851781"/>
    <w:rsid w:val="008558D6"/>
    <w:rsid w:val="00856796"/>
    <w:rsid w:val="00886D7A"/>
    <w:rsid w:val="008D63CB"/>
    <w:rsid w:val="008F3E75"/>
    <w:rsid w:val="008F572C"/>
    <w:rsid w:val="00940758"/>
    <w:rsid w:val="009411DA"/>
    <w:rsid w:val="00947454"/>
    <w:rsid w:val="00976814"/>
    <w:rsid w:val="00990DE7"/>
    <w:rsid w:val="009C541D"/>
    <w:rsid w:val="009E7349"/>
    <w:rsid w:val="00A44ADB"/>
    <w:rsid w:val="00A45522"/>
    <w:rsid w:val="00A81F68"/>
    <w:rsid w:val="00B060D6"/>
    <w:rsid w:val="00B0706B"/>
    <w:rsid w:val="00B25D5A"/>
    <w:rsid w:val="00B729B5"/>
    <w:rsid w:val="00BA01B0"/>
    <w:rsid w:val="00BC1F46"/>
    <w:rsid w:val="00BF2280"/>
    <w:rsid w:val="00C312EA"/>
    <w:rsid w:val="00C73505"/>
    <w:rsid w:val="00CA6551"/>
    <w:rsid w:val="00D10F74"/>
    <w:rsid w:val="00D15A6B"/>
    <w:rsid w:val="00D26888"/>
    <w:rsid w:val="00D87A51"/>
    <w:rsid w:val="00D96F73"/>
    <w:rsid w:val="00DB5522"/>
    <w:rsid w:val="00DE0679"/>
    <w:rsid w:val="00DF724B"/>
    <w:rsid w:val="00E5321A"/>
    <w:rsid w:val="00E818B3"/>
    <w:rsid w:val="00E84F72"/>
    <w:rsid w:val="00E91936"/>
    <w:rsid w:val="00EC0FF4"/>
    <w:rsid w:val="00ED7397"/>
    <w:rsid w:val="00F261F9"/>
    <w:rsid w:val="00F6502E"/>
    <w:rsid w:val="00F92CF0"/>
    <w:rsid w:val="00FB3A3C"/>
    <w:rsid w:val="00FD74A3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1EE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A6B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qFormat/>
    <w:rsid w:val="00154572"/>
    <w:rPr>
      <w:rFonts w:ascii="Times New Roman" w:hAnsi="Times New Roman" w:cs="Times New Roman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7350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73505"/>
    <w:rPr>
      <w:sz w:val="20"/>
    </w:rPr>
  </w:style>
  <w:style w:type="table" w:styleId="Grigliatabella">
    <w:name w:val="Table Grid"/>
    <w:basedOn w:val="Tabellanormale"/>
    <w:uiPriority w:val="59"/>
    <w:rsid w:val="00D15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Firenze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Federigo Bambi</dc:creator>
  <cp:keywords/>
  <dc:description/>
  <cp:lastModifiedBy>Federigo Bambi</cp:lastModifiedBy>
  <cp:revision>29</cp:revision>
  <cp:lastPrinted>2013-07-01T10:43:00Z</cp:lastPrinted>
  <dcterms:created xsi:type="dcterms:W3CDTF">2016-01-25T16:50:00Z</dcterms:created>
  <dcterms:modified xsi:type="dcterms:W3CDTF">2016-02-19T16:57:00Z</dcterms:modified>
</cp:coreProperties>
</file>